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4FD86">
      <w:pPr>
        <w:rPr>
          <w:rFonts w:hint="default" w:ascii="Times New Roman" w:hAnsi="Times New Roman" w:cs="Times New Roman"/>
        </w:rPr>
      </w:pPr>
      <w:r>
        <w:rPr>
          <w:rFonts w:hint="default" w:ascii="Times New Roman" w:hAnsi="Times New Roman" w:cs="Times New Roman"/>
        </w:rPr>
        <w:t>Outline of the Olympic Glory Plan (2001–2010)</w:t>
      </w:r>
      <w:bookmarkStart w:id="0" w:name="_GoBack"/>
      <w:bookmarkEnd w:id="0"/>
      <w:r>
        <w:rPr>
          <w:rFonts w:hint="default" w:ascii="Times New Roman" w:hAnsi="Times New Roman" w:cs="Times New Roman"/>
        </w:rPr>
        <w:br w:type="textWrapping"/>
      </w:r>
      <w:r>
        <w:rPr>
          <w:rFonts w:hint="default" w:ascii="Times New Roman" w:hAnsi="Times New Roman" w:cs="Times New Roman"/>
        </w:rPr>
        <w:t>(Ti Jing Zi [2002] No. 160, November 19, 2002)</w:t>
      </w:r>
    </w:p>
    <w:p w14:paraId="78B4E7A4">
      <w:pPr>
        <w:rPr>
          <w:rFonts w:hint="default" w:ascii="Times New Roman" w:hAnsi="Times New Roman" w:cs="Times New Roman"/>
        </w:rPr>
      </w:pPr>
      <w:r>
        <w:rPr>
          <w:rFonts w:hint="default" w:ascii="Times New Roman" w:hAnsi="Times New Roman" w:cs="Times New Roman"/>
        </w:rPr>
        <w:t>China’s competitive sports successfully completed the objectives of the 1994–2000 Olympic Glory Plan and achieved historic breakthroughs. Entering the new century, in order to meet the higher demands of social progress and economic development, respond to increasingly intense global competition in elite sport, and successfully fulfill the glorious yet demanding task of hosting the 2008 Beijing Olympic Games, it is essential to formulate a scientific plan for the development of China’s competitive sports over the next decade (2001–2010). This will ensure sustained, rapid, and healthy progress.</w:t>
      </w:r>
    </w:p>
    <w:p w14:paraId="7D28DAE0">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 Situation and Tasks</w:t>
      </w:r>
    </w:p>
    <w:p w14:paraId="745443A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Over the past six years, competitive sports have made significant progress:</w:t>
      </w:r>
    </w:p>
    <w:p w14:paraId="5932E7BC">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452 world championships</w:t>
      </w:r>
    </w:p>
    <w:p w14:paraId="7C96166A">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198 world records broken or equaled</w:t>
      </w:r>
    </w:p>
    <w:p w14:paraId="2892E4BC">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44 gold medals and 109 total medals at the 26th and 27th Olympic Games</w:t>
      </w:r>
    </w:p>
    <w:p w14:paraId="5B6B898D">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Ranked 3rd in gold and medal counts at the 27th Olympics</w:t>
      </w:r>
    </w:p>
    <w:p w14:paraId="3BB1E71F">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On July 13, 2001, Beijing won the bid to host the 2008 Olympic Games, creating a major strategic opportunity.</w:t>
      </w:r>
    </w:p>
    <w:p w14:paraId="3D350931">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International Context</w:t>
      </w:r>
    </w:p>
    <w:p w14:paraId="5085CCC2">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Intensified global competition for Olympic ranking</w:t>
      </w:r>
    </w:p>
    <w:p w14:paraId="1BD9F4E7">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Increased government investment worldwide</w:t>
      </w:r>
    </w:p>
    <w:p w14:paraId="639ED222">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Rapid growth of professionalization and commercialization</w:t>
      </w:r>
    </w:p>
    <w:p w14:paraId="79C81D6D">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Higher scientific and technological content in training</w:t>
      </w:r>
    </w:p>
    <w:p w14:paraId="7AEB7CA4">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Competitive landscape: U.S. and Russia leading; China, Germany, France, Australia closely competitive</w:t>
      </w:r>
    </w:p>
    <w:p w14:paraId="2F6E6F57">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Domestic Challenges</w:t>
      </w:r>
    </w:p>
    <w:p w14:paraId="5C2B5C0F">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Overall strength still lags behind the U.S. and Russia</w:t>
      </w:r>
    </w:p>
    <w:p w14:paraId="368F6FB7">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Narrow distribution of gold-medal events</w:t>
      </w:r>
    </w:p>
    <w:p w14:paraId="2BE7F973">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Weakness in foundational events (track &amp; field, swimming)</w:t>
      </w:r>
    </w:p>
    <w:p w14:paraId="2282106E">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Decline in major men’s team sports</w:t>
      </w:r>
    </w:p>
    <w:p w14:paraId="6A290327">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Limited winter event strengths</w:t>
      </w:r>
    </w:p>
    <w:p w14:paraId="065CBB74">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Insufficient reserve talent</w:t>
      </w:r>
    </w:p>
    <w:p w14:paraId="26846727">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Need for stronger scientific integration and management reform</w:t>
      </w:r>
    </w:p>
    <w:p w14:paraId="0EC36DD4">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China faces ten major comprehensive international competitions between 2002 and 2010, including multiple Olympic and Asian Games.</w:t>
      </w:r>
    </w:p>
    <w:p w14:paraId="32D859A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67195E4A">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 Guiding Ideology and Basic Principles</w:t>
      </w:r>
    </w:p>
    <w:p w14:paraId="167E5ADE">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Guided by Deng Xiaoping Theory and the “Three Represents,” the plan:</w:t>
      </w:r>
    </w:p>
    <w:p w14:paraId="2170772B">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Takes the 2008 Beijing Olympics as a strategic opportunity</w:t>
      </w:r>
    </w:p>
    <w:p w14:paraId="041DA677">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Meets the growing public demand for sport</w:t>
      </w:r>
    </w:p>
    <w:p w14:paraId="34B16165">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Strengthens Olympic strategy</w:t>
      </w:r>
    </w:p>
    <w:p w14:paraId="7E565723">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Optimizes event layout and resource allocation</w:t>
      </w:r>
    </w:p>
    <w:p w14:paraId="3008CBF3">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Coordinates Olympic, Asian, National, and City Games</w:t>
      </w:r>
    </w:p>
    <w:p w14:paraId="1DB928E8">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Upholds the “whole-nation system”</w:t>
      </w:r>
    </w:p>
    <w:p w14:paraId="6EBA796F">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Promotes science- and education-driven sport development</w:t>
      </w:r>
    </w:p>
    <w:p w14:paraId="2DDB1FCF">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Advances legal governance under the Sports Law</w:t>
      </w:r>
    </w:p>
    <w:p w14:paraId="17034AB9">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0BC174B5">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III. Reform and Development Goals</w:t>
      </w:r>
    </w:p>
    <w:p w14:paraId="2F5A19AA">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 Overall Objective</w:t>
      </w:r>
    </w:p>
    <w:p w14:paraId="3C5E33AE">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Maintain Asian leadership</w:t>
      </w:r>
    </w:p>
    <w:p w14:paraId="2D9680FD">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Remain among top nations in Olympic gold medal ranking</w:t>
      </w:r>
    </w:p>
    <w:p w14:paraId="79A3260B">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Achieve breakthroughs at the 2008 Olympics</w:t>
      </w:r>
    </w:p>
    <w:p w14:paraId="1E76E9BC">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a competitive sports management system with Chinese characteristics compatible with the socialist market economy</w:t>
      </w:r>
    </w:p>
    <w:p w14:paraId="4AAE361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15A046F7">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2. Performance Goals</w:t>
      </w:r>
    </w:p>
    <w:p w14:paraId="35DF02A6">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2004 Athens Olympics</w:t>
      </w:r>
    </w:p>
    <w:p w14:paraId="5A3F6BA1">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Maintain top-tier gold medal ranking</w:t>
      </w:r>
    </w:p>
    <w:p w14:paraId="59C88B70">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20–24 major events (~120 sub-events) capable of top-8 results</w:t>
      </w:r>
    </w:p>
    <w:p w14:paraId="3104CD5D">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11–14 major events (~80 sub-events) capable of medal contention</w:t>
      </w:r>
    </w:p>
    <w:p w14:paraId="6B102687">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2008 Beijing Olympics</w:t>
      </w:r>
    </w:p>
    <w:p w14:paraId="7112F7D1">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Leverage home advantage</w:t>
      </w:r>
    </w:p>
    <w:p w14:paraId="1E04B8E8">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Aim for 3rd place in gold medal ranking</w:t>
      </w:r>
    </w:p>
    <w:p w14:paraId="3C7328C3">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22–26 major events (~160 sub-events) top-8 capable</w:t>
      </w:r>
    </w:p>
    <w:p w14:paraId="6771C950">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14–16 major events (~100 sub-events) medal capable</w:t>
      </w:r>
    </w:p>
    <w:p w14:paraId="3706106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Winter Olympics</w:t>
      </w:r>
    </w:p>
    <w:p w14:paraId="47E23A0C">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Break gold medal zero barrier (2002)</w:t>
      </w:r>
    </w:p>
    <w:p w14:paraId="0EB4EFF9">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Steady progress in 2006 and 2010</w:t>
      </w:r>
    </w:p>
    <w:p w14:paraId="0E5B9D22">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Maintain dominance at Asian Games and strong international performance.</w:t>
      </w:r>
    </w:p>
    <w:p w14:paraId="5BE5E53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41EB02E6">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3. Sustainable Development Goals</w:t>
      </w:r>
    </w:p>
    <w:p w14:paraId="4FC821A6">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Rational project layout and scientific classification</w:t>
      </w:r>
    </w:p>
    <w:p w14:paraId="58BFD88B">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Increased number of medal-winning sports</w:t>
      </w:r>
    </w:p>
    <w:p w14:paraId="66C52859">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Stronger competition-based incentive system</w:t>
      </w:r>
    </w:p>
    <w:p w14:paraId="5FBA3E5E">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Enhanced scientific training</w:t>
      </w:r>
    </w:p>
    <w:p w14:paraId="5203A584">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Improved talent mobility and education</w:t>
      </w:r>
    </w:p>
    <w:p w14:paraId="49960FC1">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Integration of sport and education (“combining sports and education”)</w:t>
      </w:r>
    </w:p>
    <w:p w14:paraId="5BEDD3E3">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World-class integrated training–research–education bases</w:t>
      </w:r>
    </w:p>
    <w:p w14:paraId="6F835AD3">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Gradual establishment of efficiency-based investment and social security systems</w:t>
      </w:r>
    </w:p>
    <w:p w14:paraId="06242AEB">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07F6C16E">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IV. Strategic Measures</w:t>
      </w:r>
    </w:p>
    <w:p w14:paraId="278A07BE">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 Improve and Deepen the Whole-Nation System</w:t>
      </w:r>
    </w:p>
    <w:p w14:paraId="4E4308B9">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centralized leadership</w:t>
      </w:r>
    </w:p>
    <w:p w14:paraId="325518F0">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Enhance coordination for 2004 and 2008 preparation</w:t>
      </w:r>
    </w:p>
    <w:p w14:paraId="30FE5E45">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Clarify roles between sport management centers, local authorities, and associations</w:t>
      </w:r>
    </w:p>
    <w:p w14:paraId="21AD2E0A">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management mechanisms</w:t>
      </w:r>
    </w:p>
    <w:p w14:paraId="34EF0BE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1A46FA0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2. Expand Scale and Prioritize Key Events</w:t>
      </w:r>
    </w:p>
    <w:p w14:paraId="2452C88E">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national team management and competition mechanisms</w:t>
      </w:r>
    </w:p>
    <w:p w14:paraId="68672D27">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“talent clusters” in advantage events</w:t>
      </w:r>
    </w:p>
    <w:p w14:paraId="54702949">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Jointly build national teams with provinces and the military</w:t>
      </w:r>
    </w:p>
    <w:p w14:paraId="114D69A3">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Support Western region development</w:t>
      </w:r>
    </w:p>
    <w:p w14:paraId="769C4BB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3325E4ED">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3. Optimize Event Structure and Develop New “Gold Growth Points”</w:t>
      </w:r>
    </w:p>
    <w:p w14:paraId="76EBFF63">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Consolidate strengths (table tennis, badminton, diving, weightlifting, shooting, gymnastics, women’s judo)</w:t>
      </w:r>
    </w:p>
    <w:p w14:paraId="7E41C245">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potential events</w:t>
      </w:r>
    </w:p>
    <w:p w14:paraId="4DC7A63D">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Target breakthroughs in athletics, swimming, and water sports</w:t>
      </w:r>
    </w:p>
    <w:p w14:paraId="7C27E00B">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Emphasize women’s events and lightweight categories</w:t>
      </w:r>
    </w:p>
    <w:p w14:paraId="1A5E942D">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collective ball sports</w:t>
      </w:r>
    </w:p>
    <w:p w14:paraId="356E71B7">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Anticipate new Olympic events</w:t>
      </w:r>
    </w:p>
    <w:p w14:paraId="7E1FB32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35706B16">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4. Reform Competition System</w:t>
      </w:r>
    </w:p>
    <w:p w14:paraId="482BDD3F">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Reform National Games to serve Olympic strategy</w:t>
      </w:r>
    </w:p>
    <w:p w14:paraId="6974C67D">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City Games for reserve talent development</w:t>
      </w:r>
    </w:p>
    <w:p w14:paraId="6321BA74">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youth tiered competitions</w:t>
      </w:r>
    </w:p>
    <w:p w14:paraId="10C16E9F">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 funding for Olympic-age youth competitions</w:t>
      </w:r>
    </w:p>
    <w:p w14:paraId="12B626A3">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Introduce bidding systems and diversified competition formats</w:t>
      </w:r>
    </w:p>
    <w:p w14:paraId="49EDF5E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1EDEF4AB">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5. Strengthen Scientific Training</w:t>
      </w:r>
    </w:p>
    <w:p w14:paraId="030D9E4F">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Apply “Three Froms and One Big” scientifically</w:t>
      </w:r>
    </w:p>
    <w:p w14:paraId="1FF0B95E">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Implement Olympic Science Action Plan</w:t>
      </w:r>
    </w:p>
    <w:p w14:paraId="29E829DB">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integrated research–training service systems</w:t>
      </w:r>
    </w:p>
    <w:p w14:paraId="72ACF94E">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national sports information network</w:t>
      </w:r>
    </w:p>
    <w:p w14:paraId="1A25F124">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Enhance sports nutrition, equipment research, and monitoring systems</w:t>
      </w:r>
    </w:p>
    <w:p w14:paraId="7D5797F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4" o:spt="1" style="height:1.5pt;width:432pt;" fillcolor="#A0A0A0" filled="t" stroked="f" coordsize="21600,21600" o:hr="t" o:hrstd="t" o:hralign="center">
            <v:path/>
            <v:fill on="t" focussize="0,0"/>
            <v:stroke on="f"/>
            <v:imagedata o:title=""/>
            <o:lock v:ext="edit"/>
            <w10:wrap type="none"/>
            <w10:anchorlock/>
          </v:rect>
        </w:pict>
      </w:r>
    </w:p>
    <w:p w14:paraId="71A9F1F4">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6. Develop High-Level Athletes and Coaches</w:t>
      </w:r>
    </w:p>
    <w:p w14:paraId="74004695">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Combine technical excellence with moral education</w:t>
      </w:r>
    </w:p>
    <w:p w14:paraId="2630EC3E">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athlete education and retirement support</w:t>
      </w:r>
    </w:p>
    <w:p w14:paraId="1B58172F">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coach training and international exchange</w:t>
      </w:r>
    </w:p>
    <w:p w14:paraId="259A8D07">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Reform coach appointment and evaluation systems</w:t>
      </w:r>
    </w:p>
    <w:p w14:paraId="41BE72E5">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 young coach promotion and international recruitment</w:t>
      </w:r>
    </w:p>
    <w:p w14:paraId="27800A1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5" o:spt="1" style="height:1.5pt;width:432pt;" fillcolor="#A0A0A0" filled="t" stroked="f" coordsize="21600,21600" o:hr="t" o:hrstd="t" o:hralign="center">
            <v:path/>
            <v:fill on="t" focussize="0,0"/>
            <v:stroke on="f"/>
            <v:imagedata o:title=""/>
            <o:lock v:ext="edit"/>
            <w10:wrap type="none"/>
            <w10:anchorlock/>
          </v:rect>
        </w:pict>
      </w:r>
    </w:p>
    <w:p w14:paraId="0B33525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7. Strengthen Legal Framework and Sports Ethics</w:t>
      </w:r>
    </w:p>
    <w:p w14:paraId="2C39E7C3">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regulations on competition conduct</w:t>
      </w:r>
    </w:p>
    <w:p w14:paraId="7930521B">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Intensify anti-doping enforcement</w:t>
      </w:r>
    </w:p>
    <w:p w14:paraId="6401E37A">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referee training and governance</w:t>
      </w:r>
    </w:p>
    <w:p w14:paraId="5F20211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6" o:spt="1" style="height:1.5pt;width:432pt;" fillcolor="#A0A0A0" filled="t" stroked="f" coordsize="21600,21600" o:hr="t" o:hrstd="t" o:hralign="center">
            <v:path/>
            <v:fill on="t" focussize="0,0"/>
            <v:stroke on="f"/>
            <v:imagedata o:title=""/>
            <o:lock v:ext="edit"/>
            <w10:wrap type="none"/>
            <w10:anchorlock/>
          </v:rect>
        </w:pict>
      </w:r>
    </w:p>
    <w:p w14:paraId="0DACEF8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8. Implement the 2010 Reserve Talent Project</w:t>
      </w:r>
    </w:p>
    <w:p w14:paraId="1F4C5F81">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youth development pipeline</w:t>
      </w:r>
    </w:p>
    <w:p w14:paraId="51BDFF32">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Focus on advantage and potential events</w:t>
      </w:r>
    </w:p>
    <w:p w14:paraId="61FC21B8">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Align reserve talent with Olympic cycles</w:t>
      </w:r>
    </w:p>
    <w:p w14:paraId="675F1794">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national high-level reserve bases</w:t>
      </w:r>
    </w:p>
    <w:p w14:paraId="0CF6B6BE">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sport–education integration</w:t>
      </w:r>
    </w:p>
    <w:p w14:paraId="6E5FFF84">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 social participation in youth training</w:t>
      </w:r>
    </w:p>
    <w:p w14:paraId="7173675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7" o:spt="1" style="height:1.5pt;width:432pt;" fillcolor="#A0A0A0" filled="t" stroked="f" coordsize="21600,21600" o:hr="t" o:hrstd="t" o:hralign="center">
            <v:path/>
            <v:fill on="t" focussize="0,0"/>
            <v:stroke on="f"/>
            <v:imagedata o:title=""/>
            <o:lock v:ext="edit"/>
            <w10:wrap type="none"/>
            <w10:anchorlock/>
          </v:rect>
        </w:pict>
      </w:r>
    </w:p>
    <w:p w14:paraId="0BE2EF5D">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9. Improve Investment Efficiency</w:t>
      </w:r>
    </w:p>
    <w:p w14:paraId="09A41968">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 state funding strategically</w:t>
      </w:r>
    </w:p>
    <w:p w14:paraId="34A29414">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Prioritize key Olympic and medal-potential events</w:t>
      </w:r>
    </w:p>
    <w:p w14:paraId="6B7DE284">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 investment in training bases and technology</w:t>
      </w:r>
    </w:p>
    <w:p w14:paraId="3F655019">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funding channels through sports industry and lottery</w:t>
      </w:r>
    </w:p>
    <w:p w14:paraId="54D777F9">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Implement performance-based evaluation and funding adjustment</w:t>
      </w:r>
    </w:p>
    <w:p w14:paraId="6732554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8" o:spt="1" style="height:1.5pt;width:432pt;" fillcolor="#A0A0A0" filled="t" stroked="f" coordsize="21600,21600" o:hr="t" o:hrstd="t" o:hralign="center">
            <v:path/>
            <v:fill on="t" focussize="0,0"/>
            <v:stroke on="f"/>
            <v:imagedata o:title=""/>
            <o:lock v:ext="edit"/>
            <w10:wrap type="none"/>
            <w10:anchorlock/>
          </v:rect>
        </w:pict>
      </w:r>
    </w:p>
    <w:p w14:paraId="1EB8C66A">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10. Expand International Exchange and Promote Olympic Spirit</w:t>
      </w:r>
    </w:p>
    <w:p w14:paraId="41277879">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 overseas training and expert exchanges</w:t>
      </w:r>
    </w:p>
    <w:p w14:paraId="0D6B3C7E">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international sports management talent</w:t>
      </w:r>
    </w:p>
    <w:p w14:paraId="13B7FCA2">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Olympic awareness nationwide</w:t>
      </w:r>
    </w:p>
    <w:p w14:paraId="3C5B31C1">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mass sports foundation</w:t>
      </w:r>
    </w:p>
    <w:p w14:paraId="370C05D7">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social support for elite sport</w:t>
      </w:r>
    </w:p>
    <w:p w14:paraId="6537E819">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9" o:spt="1" style="height:1.5pt;width:432pt;" fillcolor="#A0A0A0" filled="t" stroked="f" coordsize="21600,21600" o:hr="t" o:hrstd="t" o:hralign="center">
            <v:path/>
            <v:fill on="t" focussize="0,0"/>
            <v:stroke on="f"/>
            <v:imagedata o:title=""/>
            <o:lock v:ext="edit"/>
            <w10:wrap type="none"/>
            <w10:anchorlock/>
          </v:rect>
        </w:pict>
      </w:r>
    </w:p>
    <w:p w14:paraId="30EB1C19">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Conclusion</w:t>
      </w:r>
    </w:p>
    <w:p w14:paraId="176E602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2001–2010 Olympic Glory Plan establishes a comprehensive strategic framework to:</w:t>
      </w:r>
    </w:p>
    <w:p w14:paraId="1C8A31E9">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Consolidate China’s position as a leading Olympic nation</w:t>
      </w:r>
    </w:p>
    <w:p w14:paraId="0AE64874">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Achieve major success at the 2008 Beijing Olympics</w:t>
      </w:r>
    </w:p>
    <w:p w14:paraId="5458A5A0">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Institutionalize scientific, efficient, and market-adaptive elite sport governance</w:t>
      </w:r>
    </w:p>
    <w:p w14:paraId="01D495C0">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Integrate elite sport with national modernization and mass sport development</w:t>
      </w:r>
    </w:p>
    <w:p w14:paraId="106D9616">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910678"/>
    <w:multiLevelType w:val="multilevel"/>
    <w:tmpl w:val="8D91067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8F3E9E66"/>
    <w:multiLevelType w:val="multilevel"/>
    <w:tmpl w:val="8F3E9E6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AE111752"/>
    <w:multiLevelType w:val="multilevel"/>
    <w:tmpl w:val="AE11175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C260A166"/>
    <w:multiLevelType w:val="multilevel"/>
    <w:tmpl w:val="C260A16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EA6A0104"/>
    <w:multiLevelType w:val="multilevel"/>
    <w:tmpl w:val="EA6A010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EEEB7ED0"/>
    <w:multiLevelType w:val="multilevel"/>
    <w:tmpl w:val="EEEB7ED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F4046889"/>
    <w:multiLevelType w:val="multilevel"/>
    <w:tmpl w:val="F404688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FFCAE043"/>
    <w:multiLevelType w:val="multilevel"/>
    <w:tmpl w:val="FFCAE04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8">
    <w:nsid w:val="07B93A54"/>
    <w:multiLevelType w:val="multilevel"/>
    <w:tmpl w:val="07B93A5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09EB6462"/>
    <w:multiLevelType w:val="multilevel"/>
    <w:tmpl w:val="09EB646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0">
    <w:nsid w:val="0C073AFB"/>
    <w:multiLevelType w:val="multilevel"/>
    <w:tmpl w:val="0C073AF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1">
    <w:nsid w:val="27682172"/>
    <w:multiLevelType w:val="multilevel"/>
    <w:tmpl w:val="2768217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2">
    <w:nsid w:val="2C6AC554"/>
    <w:multiLevelType w:val="multilevel"/>
    <w:tmpl w:val="2C6AC55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3">
    <w:nsid w:val="353041C9"/>
    <w:multiLevelType w:val="multilevel"/>
    <w:tmpl w:val="353041C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4BA94CF0"/>
    <w:multiLevelType w:val="multilevel"/>
    <w:tmpl w:val="4BA94CF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5">
    <w:nsid w:val="52647E4C"/>
    <w:multiLevelType w:val="multilevel"/>
    <w:tmpl w:val="52647E4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6">
    <w:nsid w:val="55A4F495"/>
    <w:multiLevelType w:val="multilevel"/>
    <w:tmpl w:val="55A4F49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7">
    <w:nsid w:val="5C459536"/>
    <w:multiLevelType w:val="multilevel"/>
    <w:tmpl w:val="5C45953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8">
    <w:nsid w:val="5E6827FB"/>
    <w:multiLevelType w:val="multilevel"/>
    <w:tmpl w:val="5E6827F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9">
    <w:nsid w:val="75E0016C"/>
    <w:multiLevelType w:val="multilevel"/>
    <w:tmpl w:val="75E0016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12"/>
  </w:num>
  <w:num w:numId="2">
    <w:abstractNumId w:val="19"/>
  </w:num>
  <w:num w:numId="3">
    <w:abstractNumId w:val="16"/>
  </w:num>
  <w:num w:numId="4">
    <w:abstractNumId w:val="8"/>
  </w:num>
  <w:num w:numId="5">
    <w:abstractNumId w:val="4"/>
  </w:num>
  <w:num w:numId="6">
    <w:abstractNumId w:val="15"/>
  </w:num>
  <w:num w:numId="7">
    <w:abstractNumId w:val="18"/>
  </w:num>
  <w:num w:numId="8">
    <w:abstractNumId w:val="11"/>
  </w:num>
  <w:num w:numId="9">
    <w:abstractNumId w:val="10"/>
  </w:num>
  <w:num w:numId="10">
    <w:abstractNumId w:val="6"/>
  </w:num>
  <w:num w:numId="11">
    <w:abstractNumId w:val="5"/>
  </w:num>
  <w:num w:numId="12">
    <w:abstractNumId w:val="3"/>
  </w:num>
  <w:num w:numId="13">
    <w:abstractNumId w:val="14"/>
  </w:num>
  <w:num w:numId="14">
    <w:abstractNumId w:val="17"/>
  </w:num>
  <w:num w:numId="15">
    <w:abstractNumId w:val="0"/>
  </w:num>
  <w:num w:numId="16">
    <w:abstractNumId w:val="13"/>
  </w:num>
  <w:num w:numId="17">
    <w:abstractNumId w:val="1"/>
  </w:num>
  <w:num w:numId="18">
    <w:abstractNumId w:val="9"/>
  </w:num>
  <w:num w:numId="19">
    <w:abstractNumId w:val="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5CE0A85"/>
    <w:rsid w:val="16EF4F5B"/>
    <w:rsid w:val="17445124"/>
    <w:rsid w:val="18215FDC"/>
    <w:rsid w:val="1CF8258F"/>
    <w:rsid w:val="1ECB5101"/>
    <w:rsid w:val="21B61AB9"/>
    <w:rsid w:val="2511775C"/>
    <w:rsid w:val="34C12DD7"/>
    <w:rsid w:val="37A22B01"/>
    <w:rsid w:val="3ACB0EF5"/>
    <w:rsid w:val="412B6CE1"/>
    <w:rsid w:val="44F71432"/>
    <w:rsid w:val="45C767DD"/>
    <w:rsid w:val="45D74323"/>
    <w:rsid w:val="47C27346"/>
    <w:rsid w:val="499D584B"/>
    <w:rsid w:val="4C326C11"/>
    <w:rsid w:val="50C10F02"/>
    <w:rsid w:val="52AA2CA4"/>
    <w:rsid w:val="57D41D25"/>
    <w:rsid w:val="5A9F1012"/>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0"/>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1"/>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2"/>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Emphasis"/>
    <w:basedOn w:val="8"/>
    <w:qFormat/>
    <w:uiPriority w:val="0"/>
    <w:rPr>
      <w:i/>
    </w:rPr>
  </w:style>
  <w:style w:type="character" w:customStyle="1" w:styleId="10">
    <w:name w:val="标题 1 Char"/>
    <w:link w:val="2"/>
    <w:qFormat/>
    <w:uiPriority w:val="0"/>
    <w:rPr>
      <w:rFonts w:ascii="Calibri" w:hAnsi="Calibri" w:eastAsia="黑体" w:cs="Times New Roman"/>
      <w:b/>
      <w:kern w:val="44"/>
      <w:sz w:val="32"/>
      <w:szCs w:val="22"/>
      <w:lang w:val="en-US" w:eastAsia="zh-CN" w:bidi="ar-SA"/>
    </w:rPr>
  </w:style>
  <w:style w:type="character" w:customStyle="1" w:styleId="11">
    <w:name w:val="标题 2 Char"/>
    <w:link w:val="3"/>
    <w:qFormat/>
    <w:uiPriority w:val="0"/>
    <w:rPr>
      <w:rFonts w:ascii="Times New Roman" w:hAnsi="Times New Roman" w:eastAsia="黑体" w:cstheme="minorBidi"/>
      <w:kern w:val="2"/>
      <w:sz w:val="28"/>
      <w:lang w:val="en-US" w:eastAsia="zh-CN" w:bidi="ar-SA"/>
    </w:rPr>
  </w:style>
  <w:style w:type="character" w:customStyle="1" w:styleId="12">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6597</Words>
  <Characters>6787</Characters>
  <Lines>0</Lines>
  <Paragraphs>0</Paragraphs>
  <TotalTime>39</TotalTime>
  <ScaleCrop>false</ScaleCrop>
  <LinksUpToDate>false</LinksUpToDate>
  <CharactersWithSpaces>6788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2026-03-25T01:12:35Z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50EF0B086A1248E9ADAA66F0E86F0BE4_13</vt:lpwstr>
  </property>
  <property fmtid="{D5CDD505-2E9C-101B-9397-08002B2CF9AE}" pid="4" name="KSOTemplateDocerSaveRecord">
    <vt:lpwstr>eyJoZGlkIjoiOTM3YTZhMmQ5YjRkYWU4ZjU1Y2RhODcyN2E4MDQ1YWIiLCJ1c2VySWQiOiI0MzUzNTQ5NTIifQ==</vt:lpwstr>
  </property>
</Properties>
</file>